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Implementing 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First-Year Foundation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based on the principles of a living curriculum requires a departure from traditional "General Education" distribution requirements toward an integrated core that builds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learning velocity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and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agency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.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Below is a proposed design for this foundational year, structured around capability building rather than simple knowledge transmission.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Phase 1: The Agency &amp; Tooling Intensive (Weeks 1–6)</w:t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Before academic content is introduced, students must master the "stack" required for self-directed learning .</w:t>
      </w:r>
    </w:p>
    <w:p w:rsidR="00000000" w:rsidDel="00000000" w:rsidP="00000000" w:rsidRDefault="00000000" w:rsidRPr="00000000" w14:paraId="000000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Metacognition &amp; Self-Regulation: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Students learn goal-setting, time management, and the discipline needed to sit with difficult material without immediate AI "assistance" .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09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Critical AI Literacy: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A deep dive into how large language models work, focusing on identifying hallucinations, understanding algorithmic bias, and the ethics of datafication .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0A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Prompting as Logic: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Transitioning from treating AI as an "oracle" to using it as 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thought partner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to critique drafts and explore alternative arguments .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0B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Phase 2: The Interdisciplinary Challenge (Weeks 7–18)</w:t>
      </w:r>
    </w:p>
    <w:p w:rsidR="00000000" w:rsidDel="00000000" w:rsidP="00000000" w:rsidRDefault="00000000" w:rsidRPr="00000000" w14:paraId="000000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Students move from individual study to high-stakes, team-based projects co-designed with community partners .</w:t>
      </w:r>
    </w:p>
    <w:p w:rsidR="00000000" w:rsidDel="00000000" w:rsidP="00000000" w:rsidRDefault="00000000" w:rsidRPr="00000000" w14:paraId="0000000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The "Crucible" Project: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Teams (e.g., a biology student, a business student, and a philosopher) are assigned a real-world problem, such as "Optimizing Regional Water Usage During Drought" or "Designing Ethical Patient Intake Systems" .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0F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Deliverable-Based Mastery: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Success is measured by the quality of the final output—a prototype, a policy brief, or a technical repository—rather than a standardized test .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10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Faculty Coaching: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Professors act as mentors, focusing on conceptual breakthroughs and navigating team dynamics rather than delivering lectures.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11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Phase 3: The Portfolio &amp; Signaling Build (Weeks 19–30)</w:t>
      </w:r>
    </w:p>
    <w:p w:rsidR="00000000" w:rsidDel="00000000" w:rsidP="00000000" w:rsidRDefault="00000000" w:rsidRPr="00000000" w14:paraId="000000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The final phase focuses on converting the year's learning into legible signals for the labor market .</w:t>
      </w:r>
    </w:p>
    <w:p w:rsidR="00000000" w:rsidDel="00000000" w:rsidP="00000000" w:rsidRDefault="00000000" w:rsidRPr="00000000" w14:paraId="0000001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Evidence Layer Development: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Students compile their code, written analyses, and project results into a digital portfolio .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15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Micro-Credentialing: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Students earn stackable, blockchain-secured certifications in specific skills (e.g., "Data Visualization," "Intercultural Collaboration") earned during their challenge phase .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16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Learning Velocity Assessment: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Analytics from Phase 1 and 2 are used to create a profile of the student's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rtl w:val="0"/>
        </w:rPr>
        <w:t xml:space="preserve">growth trajectory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—how fast they unlearned errors and adapted to new challenges .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17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Core Structural Anchors</w:t>
      </w:r>
    </w:p>
    <w:tbl>
      <w:tblPr>
        <w:tblStyle w:val="Table1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Feature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Implementation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Schedule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Self-paced mastery tracks; students progress as they prove competence, not by the semester clock .</w:t>
            </w:r>
          </w:p>
          <w:p w:rsidR="00000000" w:rsidDel="00000000" w:rsidP="00000000" w:rsidRDefault="00000000" w:rsidRPr="00000000" w14:paraId="0000001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Mentoring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Concurrent Collaboration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: Students meet regularly with both AI diagnostic agents and human character-building coaches .</w:t>
            </w:r>
          </w:p>
          <w:p w:rsidR="00000000" w:rsidDel="00000000" w:rsidP="00000000" w:rsidRDefault="00000000" w:rsidRPr="00000000" w14:paraId="0000002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Equity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Bridge Programs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: Intensive support for first-generation students to develop academic confidence before Phase 2.</w:t>
            </w:r>
          </w:p>
          <w:p w:rsidR="00000000" w:rsidDel="00000000" w:rsidP="00000000" w:rsidRDefault="00000000" w:rsidRPr="00000000" w14:paraId="0000002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Governance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A "Living Board" of industry leaders and faculty that updates the "Challenge" list every six months .</w:t>
            </w:r>
          </w:p>
          <w:p w:rsidR="00000000" w:rsidDel="00000000" w:rsidP="00000000" w:rsidRDefault="00000000" w:rsidRPr="00000000" w14:paraId="0000002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2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480" w:line="275.9999942779541" w:lineRule="auto"/>
        <w:rPr>
          <w:rFonts w:ascii="Google Sans Text" w:cs="Google Sans Text" w:eastAsia="Google Sans Text" w:hAnsi="Google Sans Text"/>
          <w:b w:val="1"/>
          <w:bCs w:val="1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Would you like to see a sample "Grading Rubric" for an AI-integrated interdisciplinary project?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bCs w:val="1"/>
      <w:i w:val="0"/>
      <w:iCs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bCs w:val="1"/>
      <w:i w:val="0"/>
      <w:iCs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iCs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